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864" w:rsidRPr="003213F8" w:rsidRDefault="00BC5599" w:rsidP="003213F8">
      <w:pPr>
        <w:jc w:val="center"/>
        <w:rPr>
          <w:rFonts w:asciiTheme="minorEastAsia" w:hAnsiTheme="minorEastAsia"/>
          <w:b/>
          <w:sz w:val="44"/>
          <w:szCs w:val="44"/>
        </w:rPr>
      </w:pPr>
      <w:r w:rsidRPr="003213F8">
        <w:rPr>
          <w:rFonts w:asciiTheme="minorEastAsia" w:hAnsiTheme="minorEastAsia" w:hint="eastAsia"/>
          <w:b/>
          <w:sz w:val="44"/>
          <w:szCs w:val="44"/>
        </w:rPr>
        <w:t>覆膜气管支架产品参数</w:t>
      </w:r>
    </w:p>
    <w:p w:rsidR="00BC5599" w:rsidRPr="003213F8" w:rsidRDefault="00BC5599" w:rsidP="005D18F5">
      <w:pPr>
        <w:ind w:firstLineChars="200" w:firstLine="560"/>
        <w:rPr>
          <w:rFonts w:asciiTheme="minorEastAsia" w:hAnsiTheme="minorEastAsia"/>
          <w:sz w:val="28"/>
          <w:szCs w:val="28"/>
        </w:rPr>
      </w:pPr>
      <w:r w:rsidRPr="003213F8">
        <w:rPr>
          <w:rFonts w:asciiTheme="minorEastAsia" w:hAnsiTheme="minorEastAsia" w:hint="eastAsia"/>
          <w:sz w:val="28"/>
          <w:szCs w:val="28"/>
        </w:rPr>
        <w:t>产品名称：覆膜气管支架</w:t>
      </w:r>
    </w:p>
    <w:p w:rsidR="00BC5599" w:rsidRPr="003213F8" w:rsidRDefault="00BC5599" w:rsidP="005D18F5">
      <w:pPr>
        <w:ind w:firstLineChars="200" w:firstLine="560"/>
        <w:rPr>
          <w:rFonts w:asciiTheme="minorEastAsia" w:hAnsiTheme="minorEastAsia" w:cs="Helvetica"/>
          <w:sz w:val="28"/>
          <w:szCs w:val="28"/>
        </w:rPr>
      </w:pPr>
      <w:r w:rsidRPr="003213F8">
        <w:rPr>
          <w:rFonts w:asciiTheme="minorEastAsia" w:hAnsiTheme="minorEastAsia" w:hint="eastAsia"/>
          <w:sz w:val="28"/>
          <w:szCs w:val="28"/>
        </w:rPr>
        <w:t>产品结构及组成：</w:t>
      </w:r>
      <w:r w:rsidRPr="003213F8">
        <w:rPr>
          <w:rFonts w:asciiTheme="minorEastAsia" w:hAnsiTheme="minorEastAsia" w:cs="Helvetica" w:hint="eastAsia"/>
          <w:sz w:val="28"/>
          <w:szCs w:val="28"/>
        </w:rPr>
        <w:t>该产品以00Cr18Ni14Mo13不锈钢制成Z型骨架，覆有HS-110医用硅橡胶膜。辅助结构有防滑装置和回收装置。产品为非无菌供货。货架有效期两年。</w:t>
      </w:r>
    </w:p>
    <w:p w:rsidR="00BC5599" w:rsidRPr="003213F8" w:rsidRDefault="00BC5599" w:rsidP="005D18F5">
      <w:pPr>
        <w:ind w:firstLineChars="200" w:firstLine="560"/>
        <w:rPr>
          <w:rFonts w:asciiTheme="minorEastAsia" w:hAnsiTheme="minorEastAsia" w:cs="Helvetica"/>
          <w:sz w:val="28"/>
          <w:szCs w:val="28"/>
        </w:rPr>
      </w:pPr>
      <w:r w:rsidRPr="003213F8">
        <w:rPr>
          <w:rFonts w:asciiTheme="minorEastAsia" w:hAnsiTheme="minorEastAsia" w:cs="Helvetica" w:hint="eastAsia"/>
          <w:sz w:val="28"/>
          <w:szCs w:val="28"/>
        </w:rPr>
        <w:t>规格参数：</w:t>
      </w:r>
    </w:p>
    <w:tbl>
      <w:tblPr>
        <w:tblStyle w:val="a3"/>
        <w:tblW w:w="9860" w:type="dxa"/>
        <w:jc w:val="center"/>
        <w:tblLook w:val="04A0" w:firstRow="1" w:lastRow="0" w:firstColumn="1" w:lastColumn="0" w:noHBand="0" w:noVBand="1"/>
      </w:tblPr>
      <w:tblGrid>
        <w:gridCol w:w="1233"/>
        <w:gridCol w:w="1197"/>
        <w:gridCol w:w="1141"/>
        <w:gridCol w:w="1199"/>
        <w:gridCol w:w="1143"/>
        <w:gridCol w:w="3947"/>
      </w:tblGrid>
      <w:tr w:rsidR="003213F8" w:rsidRPr="005D18F5" w:rsidTr="005D18F5">
        <w:trPr>
          <w:trHeight w:val="345"/>
          <w:jc w:val="center"/>
        </w:trPr>
        <w:tc>
          <w:tcPr>
            <w:tcW w:w="1233" w:type="dxa"/>
            <w:vMerge w:val="restart"/>
            <w:vAlign w:val="center"/>
          </w:tcPr>
          <w:p w:rsidR="003213F8" w:rsidRPr="005D18F5" w:rsidRDefault="003213F8" w:rsidP="005D18F5">
            <w:pPr>
              <w:ind w:firstLineChars="200" w:firstLine="420"/>
              <w:rPr>
                <w:rFonts w:asciiTheme="minorEastAsia" w:hAnsiTheme="minorEastAsia"/>
                <w:szCs w:val="21"/>
              </w:rPr>
            </w:pPr>
            <w:r w:rsidRPr="005D18F5">
              <w:rPr>
                <w:rFonts w:asciiTheme="minorEastAsia" w:hAnsiTheme="minorEastAsia" w:hint="eastAsia"/>
                <w:szCs w:val="21"/>
              </w:rPr>
              <w:t>系列</w:t>
            </w:r>
          </w:p>
        </w:tc>
        <w:tc>
          <w:tcPr>
            <w:tcW w:w="4680" w:type="dxa"/>
            <w:gridSpan w:val="4"/>
            <w:vAlign w:val="center"/>
          </w:tcPr>
          <w:p w:rsidR="003213F8" w:rsidRPr="005D18F5" w:rsidRDefault="003213F8" w:rsidP="005D18F5">
            <w:pPr>
              <w:ind w:firstLineChars="200" w:firstLine="420"/>
              <w:jc w:val="center"/>
              <w:rPr>
                <w:rFonts w:asciiTheme="minorEastAsia" w:hAnsiTheme="minorEastAsia"/>
                <w:szCs w:val="21"/>
              </w:rPr>
            </w:pPr>
            <w:r w:rsidRPr="005D18F5">
              <w:rPr>
                <w:rFonts w:asciiTheme="minorEastAsia" w:hAnsiTheme="minorEastAsia" w:hint="eastAsia"/>
                <w:szCs w:val="21"/>
              </w:rPr>
              <w:t>尺寸</w:t>
            </w:r>
          </w:p>
        </w:tc>
        <w:tc>
          <w:tcPr>
            <w:tcW w:w="3947" w:type="dxa"/>
            <w:vMerge w:val="restart"/>
            <w:vAlign w:val="center"/>
          </w:tcPr>
          <w:p w:rsidR="003213F8" w:rsidRPr="005D18F5" w:rsidRDefault="003213F8" w:rsidP="005D18F5">
            <w:pPr>
              <w:ind w:firstLineChars="200" w:firstLine="420"/>
              <w:jc w:val="center"/>
              <w:rPr>
                <w:rFonts w:asciiTheme="minorEastAsia" w:hAnsiTheme="minorEastAsia"/>
                <w:szCs w:val="21"/>
              </w:rPr>
            </w:pPr>
            <w:r w:rsidRPr="005D18F5">
              <w:rPr>
                <w:rFonts w:asciiTheme="minorEastAsia" w:hAnsiTheme="minorEastAsia" w:hint="eastAsia"/>
                <w:szCs w:val="21"/>
              </w:rPr>
              <w:t>防滑倒刺</w:t>
            </w:r>
          </w:p>
        </w:tc>
      </w:tr>
      <w:tr w:rsidR="003213F8" w:rsidRPr="005D18F5" w:rsidTr="005D18F5">
        <w:trPr>
          <w:trHeight w:val="166"/>
          <w:jc w:val="center"/>
        </w:trPr>
        <w:tc>
          <w:tcPr>
            <w:tcW w:w="1233" w:type="dxa"/>
            <w:vMerge/>
            <w:vAlign w:val="center"/>
          </w:tcPr>
          <w:p w:rsidR="003213F8" w:rsidRPr="005D18F5" w:rsidRDefault="003213F8" w:rsidP="005D18F5">
            <w:pPr>
              <w:ind w:firstLineChars="200" w:firstLine="420"/>
              <w:jc w:val="center"/>
              <w:rPr>
                <w:rFonts w:asciiTheme="minorEastAsia" w:hAnsiTheme="minorEastAsia"/>
                <w:szCs w:val="21"/>
              </w:rPr>
            </w:pPr>
          </w:p>
        </w:tc>
        <w:tc>
          <w:tcPr>
            <w:tcW w:w="2338" w:type="dxa"/>
            <w:gridSpan w:val="2"/>
            <w:vAlign w:val="center"/>
          </w:tcPr>
          <w:p w:rsidR="003213F8" w:rsidRPr="005D18F5" w:rsidRDefault="003213F8" w:rsidP="005D18F5">
            <w:pPr>
              <w:ind w:firstLineChars="200" w:firstLine="420"/>
              <w:jc w:val="center"/>
              <w:rPr>
                <w:rFonts w:asciiTheme="minorEastAsia" w:hAnsiTheme="minorEastAsia"/>
                <w:szCs w:val="21"/>
              </w:rPr>
            </w:pPr>
            <w:r w:rsidRPr="005D18F5">
              <w:rPr>
                <w:rFonts w:asciiTheme="minorEastAsia" w:hAnsiTheme="minorEastAsia" w:hint="eastAsia"/>
                <w:szCs w:val="21"/>
              </w:rPr>
              <w:t>基本尺寸Φ</w:t>
            </w:r>
          </w:p>
        </w:tc>
        <w:tc>
          <w:tcPr>
            <w:tcW w:w="2342" w:type="dxa"/>
            <w:gridSpan w:val="2"/>
            <w:vAlign w:val="center"/>
          </w:tcPr>
          <w:p w:rsidR="003213F8" w:rsidRPr="005D18F5" w:rsidRDefault="003213F8" w:rsidP="005D18F5">
            <w:pPr>
              <w:ind w:firstLineChars="200" w:firstLine="420"/>
              <w:jc w:val="center"/>
              <w:rPr>
                <w:rFonts w:asciiTheme="minorEastAsia" w:hAnsiTheme="minorEastAsia"/>
                <w:szCs w:val="21"/>
              </w:rPr>
            </w:pPr>
            <w:r w:rsidRPr="005D18F5">
              <w:rPr>
                <w:rFonts w:asciiTheme="minorEastAsia" w:hAnsiTheme="minorEastAsia" w:hint="eastAsia"/>
                <w:szCs w:val="21"/>
              </w:rPr>
              <w:t>基本尺寸L</w:t>
            </w:r>
          </w:p>
        </w:tc>
        <w:tc>
          <w:tcPr>
            <w:tcW w:w="3947" w:type="dxa"/>
            <w:vMerge/>
            <w:vAlign w:val="center"/>
          </w:tcPr>
          <w:p w:rsidR="003213F8" w:rsidRPr="005D18F5" w:rsidRDefault="003213F8" w:rsidP="005D18F5">
            <w:pPr>
              <w:ind w:firstLineChars="200" w:firstLine="420"/>
              <w:jc w:val="center"/>
              <w:rPr>
                <w:rFonts w:asciiTheme="minorEastAsia" w:hAnsiTheme="minorEastAsia"/>
                <w:szCs w:val="21"/>
              </w:rPr>
            </w:pPr>
          </w:p>
        </w:tc>
      </w:tr>
      <w:tr w:rsidR="003213F8" w:rsidRPr="005D18F5" w:rsidTr="005D18F5">
        <w:trPr>
          <w:trHeight w:val="345"/>
          <w:jc w:val="center"/>
        </w:trPr>
        <w:tc>
          <w:tcPr>
            <w:tcW w:w="1233" w:type="dxa"/>
            <w:vMerge w:val="restart"/>
            <w:vAlign w:val="center"/>
          </w:tcPr>
          <w:p w:rsidR="003213F8" w:rsidRPr="005D18F5" w:rsidRDefault="005D18F5" w:rsidP="005D18F5">
            <w:pPr>
              <w:rPr>
                <w:rFonts w:asciiTheme="minorEastAsia" w:hAnsiTheme="minorEastAsia"/>
                <w:szCs w:val="21"/>
              </w:rPr>
            </w:pPr>
            <w:r>
              <w:rPr>
                <w:rFonts w:asciiTheme="minorEastAsia" w:hAnsiTheme="minorEastAsia" w:hint="eastAsia"/>
                <w:szCs w:val="21"/>
              </w:rPr>
              <w:t>CZTS-I</w:t>
            </w:r>
          </w:p>
        </w:tc>
        <w:tc>
          <w:tcPr>
            <w:tcW w:w="1197" w:type="dxa"/>
            <w:vAlign w:val="center"/>
          </w:tcPr>
          <w:p w:rsidR="003213F8" w:rsidRPr="005D18F5" w:rsidRDefault="003213F8" w:rsidP="005D18F5">
            <w:pPr>
              <w:jc w:val="center"/>
              <w:rPr>
                <w:rFonts w:asciiTheme="minorEastAsia" w:hAnsiTheme="minorEastAsia"/>
                <w:szCs w:val="21"/>
              </w:rPr>
            </w:pPr>
            <w:r w:rsidRPr="005D18F5">
              <w:rPr>
                <w:rFonts w:asciiTheme="minorEastAsia" w:hAnsiTheme="minorEastAsia" w:hint="eastAsia"/>
                <w:szCs w:val="21"/>
              </w:rPr>
              <w:t>尺寸</w:t>
            </w:r>
          </w:p>
        </w:tc>
        <w:tc>
          <w:tcPr>
            <w:tcW w:w="1141" w:type="dxa"/>
            <w:vAlign w:val="center"/>
          </w:tcPr>
          <w:p w:rsidR="003213F8" w:rsidRPr="005D18F5" w:rsidRDefault="003213F8" w:rsidP="005D18F5">
            <w:pPr>
              <w:jc w:val="center"/>
              <w:rPr>
                <w:rFonts w:asciiTheme="minorEastAsia" w:hAnsiTheme="minorEastAsia"/>
                <w:szCs w:val="21"/>
              </w:rPr>
            </w:pPr>
            <w:r w:rsidRPr="005D18F5">
              <w:rPr>
                <w:rFonts w:asciiTheme="minorEastAsia" w:hAnsiTheme="minorEastAsia" w:hint="eastAsia"/>
                <w:szCs w:val="21"/>
              </w:rPr>
              <w:t>公差</w:t>
            </w:r>
          </w:p>
        </w:tc>
        <w:tc>
          <w:tcPr>
            <w:tcW w:w="1199" w:type="dxa"/>
            <w:vAlign w:val="center"/>
          </w:tcPr>
          <w:p w:rsidR="003213F8" w:rsidRPr="005D18F5" w:rsidRDefault="003213F8" w:rsidP="005D18F5">
            <w:pPr>
              <w:jc w:val="center"/>
              <w:rPr>
                <w:rFonts w:asciiTheme="minorEastAsia" w:hAnsiTheme="minorEastAsia"/>
                <w:szCs w:val="21"/>
              </w:rPr>
            </w:pPr>
            <w:r w:rsidRPr="005D18F5">
              <w:rPr>
                <w:rFonts w:asciiTheme="minorEastAsia" w:hAnsiTheme="minorEastAsia" w:hint="eastAsia"/>
                <w:szCs w:val="21"/>
              </w:rPr>
              <w:t>尺寸</w:t>
            </w:r>
          </w:p>
        </w:tc>
        <w:tc>
          <w:tcPr>
            <w:tcW w:w="1143" w:type="dxa"/>
            <w:vAlign w:val="center"/>
          </w:tcPr>
          <w:p w:rsidR="003213F8" w:rsidRPr="005D18F5" w:rsidRDefault="003213F8" w:rsidP="005D18F5">
            <w:pPr>
              <w:jc w:val="center"/>
              <w:rPr>
                <w:rFonts w:asciiTheme="minorEastAsia" w:hAnsiTheme="minorEastAsia"/>
                <w:szCs w:val="21"/>
              </w:rPr>
            </w:pPr>
            <w:r w:rsidRPr="005D18F5">
              <w:rPr>
                <w:rFonts w:asciiTheme="minorEastAsia" w:hAnsiTheme="minorEastAsia" w:hint="eastAsia"/>
                <w:szCs w:val="21"/>
              </w:rPr>
              <w:t>公差</w:t>
            </w:r>
          </w:p>
        </w:tc>
        <w:tc>
          <w:tcPr>
            <w:tcW w:w="3947" w:type="dxa"/>
            <w:vMerge/>
            <w:vAlign w:val="center"/>
          </w:tcPr>
          <w:p w:rsidR="003213F8" w:rsidRPr="005D18F5" w:rsidRDefault="003213F8" w:rsidP="005D18F5">
            <w:pPr>
              <w:ind w:firstLineChars="200" w:firstLine="420"/>
              <w:jc w:val="center"/>
              <w:rPr>
                <w:rFonts w:asciiTheme="minorEastAsia" w:hAnsiTheme="minorEastAsia"/>
                <w:szCs w:val="21"/>
              </w:rPr>
            </w:pPr>
          </w:p>
        </w:tc>
      </w:tr>
      <w:tr w:rsidR="003213F8" w:rsidRPr="005D18F5" w:rsidTr="005D18F5">
        <w:trPr>
          <w:trHeight w:val="166"/>
          <w:jc w:val="center"/>
        </w:trPr>
        <w:tc>
          <w:tcPr>
            <w:tcW w:w="1233" w:type="dxa"/>
            <w:vMerge/>
            <w:vAlign w:val="center"/>
          </w:tcPr>
          <w:p w:rsidR="003213F8" w:rsidRPr="005D18F5" w:rsidRDefault="003213F8" w:rsidP="005D18F5">
            <w:pPr>
              <w:ind w:firstLineChars="200" w:firstLine="420"/>
              <w:jc w:val="center"/>
              <w:rPr>
                <w:rFonts w:asciiTheme="minorEastAsia" w:hAnsiTheme="minorEastAsia"/>
                <w:szCs w:val="21"/>
              </w:rPr>
            </w:pPr>
          </w:p>
        </w:tc>
        <w:tc>
          <w:tcPr>
            <w:tcW w:w="1197" w:type="dxa"/>
            <w:vAlign w:val="center"/>
          </w:tcPr>
          <w:p w:rsidR="003213F8" w:rsidRPr="005D18F5" w:rsidRDefault="003213F8" w:rsidP="005D18F5">
            <w:pPr>
              <w:rPr>
                <w:rFonts w:asciiTheme="minorEastAsia" w:hAnsiTheme="minorEastAsia"/>
                <w:szCs w:val="21"/>
              </w:rPr>
            </w:pPr>
            <w:r w:rsidRPr="005D18F5">
              <w:rPr>
                <w:rFonts w:asciiTheme="minorEastAsia" w:hAnsiTheme="minorEastAsia" w:hint="eastAsia"/>
                <w:szCs w:val="21"/>
              </w:rPr>
              <w:t>10、11、12、13、14、15、16、17、18、19、20</w:t>
            </w:r>
          </w:p>
        </w:tc>
        <w:tc>
          <w:tcPr>
            <w:tcW w:w="1141" w:type="dxa"/>
            <w:vAlign w:val="center"/>
          </w:tcPr>
          <w:p w:rsidR="003213F8" w:rsidRPr="005D18F5" w:rsidRDefault="005D18F5" w:rsidP="005D18F5">
            <w:pPr>
              <w:rPr>
                <w:rFonts w:asciiTheme="minorEastAsia" w:hAnsiTheme="minorEastAsia"/>
                <w:szCs w:val="21"/>
              </w:rPr>
            </w:pPr>
            <w:r w:rsidRPr="005D18F5">
              <w:rPr>
                <w:rFonts w:asciiTheme="minorEastAsia" w:hAnsiTheme="minorEastAsia" w:hint="eastAsia"/>
                <w:szCs w:val="21"/>
              </w:rPr>
              <w:t>±</w:t>
            </w:r>
            <w:r>
              <w:rPr>
                <w:rFonts w:asciiTheme="minorEastAsia" w:hAnsiTheme="minorEastAsia" w:hint="eastAsia"/>
                <w:szCs w:val="21"/>
              </w:rPr>
              <w:t>0.5</w:t>
            </w:r>
          </w:p>
        </w:tc>
        <w:tc>
          <w:tcPr>
            <w:tcW w:w="1199" w:type="dxa"/>
            <w:vAlign w:val="center"/>
          </w:tcPr>
          <w:p w:rsidR="003213F8" w:rsidRPr="005D18F5" w:rsidRDefault="003213F8" w:rsidP="005D18F5">
            <w:pPr>
              <w:rPr>
                <w:rFonts w:asciiTheme="minorEastAsia" w:hAnsiTheme="minorEastAsia"/>
                <w:szCs w:val="21"/>
              </w:rPr>
            </w:pPr>
            <w:r w:rsidRPr="005D18F5">
              <w:rPr>
                <w:rFonts w:asciiTheme="minorEastAsia" w:hAnsiTheme="minorEastAsia" w:hint="eastAsia"/>
                <w:szCs w:val="21"/>
              </w:rPr>
              <w:t>50、55、60、65、70、75、80、85、90、95、100</w:t>
            </w:r>
          </w:p>
        </w:tc>
        <w:tc>
          <w:tcPr>
            <w:tcW w:w="1143" w:type="dxa"/>
            <w:vAlign w:val="center"/>
          </w:tcPr>
          <w:p w:rsidR="003213F8" w:rsidRPr="005D18F5" w:rsidRDefault="005D18F5" w:rsidP="005D18F5">
            <w:pPr>
              <w:rPr>
                <w:rFonts w:asciiTheme="minorEastAsia" w:hAnsiTheme="minorEastAsia"/>
                <w:szCs w:val="21"/>
              </w:rPr>
            </w:pPr>
            <w:r w:rsidRPr="005D18F5">
              <w:rPr>
                <w:rFonts w:asciiTheme="minorEastAsia" w:hAnsiTheme="minorEastAsia" w:hint="eastAsia"/>
                <w:szCs w:val="21"/>
              </w:rPr>
              <w:t>±</w:t>
            </w:r>
            <w:r>
              <w:rPr>
                <w:rFonts w:asciiTheme="minorEastAsia" w:hAnsiTheme="minorEastAsia" w:hint="eastAsia"/>
                <w:szCs w:val="21"/>
              </w:rPr>
              <w:t>1.5</w:t>
            </w:r>
          </w:p>
        </w:tc>
        <w:tc>
          <w:tcPr>
            <w:tcW w:w="3947" w:type="dxa"/>
            <w:vAlign w:val="center"/>
          </w:tcPr>
          <w:p w:rsidR="003213F8" w:rsidRPr="005D18F5" w:rsidRDefault="003213F8" w:rsidP="005D18F5">
            <w:pPr>
              <w:ind w:firstLineChars="200" w:firstLine="420"/>
              <w:jc w:val="center"/>
              <w:rPr>
                <w:rFonts w:asciiTheme="minorEastAsia" w:hAnsiTheme="minorEastAsia"/>
                <w:szCs w:val="21"/>
              </w:rPr>
            </w:pPr>
            <w:r w:rsidRPr="005D18F5">
              <w:rPr>
                <w:rFonts w:asciiTheme="minorEastAsia" w:hAnsiTheme="minorEastAsia" w:hint="eastAsia"/>
                <w:szCs w:val="21"/>
              </w:rPr>
              <w:t>有、无</w:t>
            </w:r>
          </w:p>
        </w:tc>
      </w:tr>
    </w:tbl>
    <w:p w:rsidR="003213F8" w:rsidRPr="003213F8" w:rsidRDefault="003213F8" w:rsidP="005D18F5">
      <w:pPr>
        <w:ind w:firstLineChars="200" w:firstLine="560"/>
        <w:rPr>
          <w:rFonts w:asciiTheme="minorEastAsia" w:hAnsiTheme="minorEastAsia"/>
          <w:sz w:val="28"/>
          <w:szCs w:val="28"/>
        </w:rPr>
      </w:pPr>
      <w:r w:rsidRPr="003213F8">
        <w:rPr>
          <w:rFonts w:asciiTheme="minorEastAsia" w:hAnsiTheme="minorEastAsia" w:hint="eastAsia"/>
          <w:sz w:val="28"/>
          <w:szCs w:val="28"/>
        </w:rPr>
        <w:t>适用范围：</w:t>
      </w:r>
    </w:p>
    <w:p w:rsidR="003213F8" w:rsidRPr="003213F8" w:rsidRDefault="003213F8" w:rsidP="005D18F5">
      <w:pPr>
        <w:ind w:firstLineChars="200" w:firstLine="560"/>
        <w:rPr>
          <w:rFonts w:asciiTheme="minorEastAsia" w:hAnsiTheme="minorEastAsia" w:cs="Helvetica"/>
          <w:sz w:val="28"/>
          <w:szCs w:val="28"/>
        </w:rPr>
      </w:pPr>
      <w:r w:rsidRPr="003213F8">
        <w:rPr>
          <w:rFonts w:asciiTheme="minorEastAsia" w:hAnsiTheme="minorEastAsia" w:cs="Helvetica" w:hint="eastAsia"/>
          <w:sz w:val="28"/>
          <w:szCs w:val="28"/>
        </w:rPr>
        <w:t>1.食道癌或者其他恶性肿瘤压迫、侵蚀气管或转移至气管、支气管形成的气管狭窄。</w:t>
      </w:r>
    </w:p>
    <w:p w:rsidR="003213F8" w:rsidRPr="003213F8" w:rsidRDefault="003213F8" w:rsidP="005D18F5">
      <w:pPr>
        <w:ind w:firstLineChars="200" w:firstLine="560"/>
        <w:rPr>
          <w:rFonts w:asciiTheme="minorEastAsia" w:hAnsiTheme="minorEastAsia" w:cs="Helvetica"/>
          <w:sz w:val="28"/>
          <w:szCs w:val="28"/>
        </w:rPr>
      </w:pPr>
      <w:r w:rsidRPr="003213F8">
        <w:rPr>
          <w:rFonts w:asciiTheme="minorEastAsia" w:hAnsiTheme="minorEastAsia" w:cs="Helvetica" w:hint="eastAsia"/>
          <w:sz w:val="28"/>
          <w:szCs w:val="28"/>
        </w:rPr>
        <w:t>2.食道癌或其他恶性肿瘤手术后复发侵蚀气管及放疗后引起的气管狭窄。</w:t>
      </w:r>
    </w:p>
    <w:p w:rsidR="003213F8" w:rsidRPr="003213F8" w:rsidRDefault="003213F8" w:rsidP="005D18F5">
      <w:pPr>
        <w:ind w:firstLineChars="200" w:firstLine="560"/>
        <w:rPr>
          <w:rFonts w:asciiTheme="minorEastAsia" w:hAnsiTheme="minorEastAsia" w:cs="Helvetica"/>
          <w:sz w:val="28"/>
          <w:szCs w:val="28"/>
        </w:rPr>
      </w:pPr>
      <w:r w:rsidRPr="003213F8">
        <w:rPr>
          <w:rFonts w:asciiTheme="minorEastAsia" w:hAnsiTheme="minorEastAsia" w:cs="Helvetica" w:hint="eastAsia"/>
          <w:sz w:val="28"/>
          <w:szCs w:val="28"/>
        </w:rPr>
        <w:t>产品特点：</w:t>
      </w:r>
    </w:p>
    <w:p w:rsidR="003213F8" w:rsidRPr="003213F8" w:rsidRDefault="003213F8" w:rsidP="005D18F5">
      <w:pPr>
        <w:pStyle w:val="a4"/>
        <w:numPr>
          <w:ilvl w:val="0"/>
          <w:numId w:val="1"/>
        </w:numPr>
        <w:ind w:firstLine="560"/>
        <w:rPr>
          <w:rFonts w:asciiTheme="minorEastAsia" w:hAnsiTheme="minorEastAsia" w:cs="Helvetica"/>
          <w:sz w:val="28"/>
          <w:szCs w:val="28"/>
        </w:rPr>
      </w:pPr>
      <w:r w:rsidRPr="003213F8">
        <w:rPr>
          <w:rFonts w:asciiTheme="minorEastAsia" w:hAnsiTheme="minorEastAsia" w:cs="Helvetica"/>
          <w:sz w:val="28"/>
          <w:szCs w:val="28"/>
        </w:rPr>
        <w:t>“</w:t>
      </w:r>
      <w:r w:rsidRPr="003213F8">
        <w:rPr>
          <w:rFonts w:asciiTheme="minorEastAsia" w:hAnsiTheme="minorEastAsia" w:cs="Helvetica" w:hint="eastAsia"/>
          <w:sz w:val="28"/>
          <w:szCs w:val="28"/>
        </w:rPr>
        <w:t>Z</w:t>
      </w:r>
      <w:r w:rsidRPr="003213F8">
        <w:rPr>
          <w:rFonts w:asciiTheme="minorEastAsia" w:hAnsiTheme="minorEastAsia" w:cs="Helvetica"/>
          <w:sz w:val="28"/>
          <w:szCs w:val="28"/>
        </w:rPr>
        <w:t>”</w:t>
      </w:r>
      <w:r w:rsidRPr="003213F8">
        <w:rPr>
          <w:rFonts w:asciiTheme="minorEastAsia" w:hAnsiTheme="minorEastAsia" w:cs="Helvetica" w:hint="eastAsia"/>
          <w:sz w:val="28"/>
          <w:szCs w:val="28"/>
        </w:rPr>
        <w:t>型骨架结构和全覆膜设计，对气管黏膜的异物刺激降到最低，大大减少增生，阻止肉芽向管内长入；</w:t>
      </w:r>
    </w:p>
    <w:p w:rsidR="003213F8" w:rsidRPr="003213F8" w:rsidRDefault="003213F8" w:rsidP="005D18F5">
      <w:pPr>
        <w:pStyle w:val="a4"/>
        <w:numPr>
          <w:ilvl w:val="0"/>
          <w:numId w:val="1"/>
        </w:numPr>
        <w:ind w:firstLine="560"/>
        <w:rPr>
          <w:rFonts w:asciiTheme="minorEastAsia" w:hAnsiTheme="minorEastAsia" w:cs="Helvetica"/>
          <w:sz w:val="28"/>
          <w:szCs w:val="28"/>
        </w:rPr>
      </w:pPr>
      <w:r w:rsidRPr="003213F8">
        <w:rPr>
          <w:rFonts w:asciiTheme="minorEastAsia" w:hAnsiTheme="minorEastAsia" w:cs="Helvetica" w:hint="eastAsia"/>
          <w:sz w:val="28"/>
          <w:szCs w:val="28"/>
        </w:rPr>
        <w:t>全覆膜设计避免骨架暴露，减轻骨架金属对肿瘤的压力，避免肿瘤组织出血。支架两端与气管接触点少，避免了切割气管。</w:t>
      </w:r>
    </w:p>
    <w:p w:rsidR="003213F8" w:rsidRPr="003213F8" w:rsidRDefault="003213F8" w:rsidP="005D18F5">
      <w:pPr>
        <w:pStyle w:val="a4"/>
        <w:numPr>
          <w:ilvl w:val="0"/>
          <w:numId w:val="1"/>
        </w:numPr>
        <w:ind w:firstLine="560"/>
        <w:rPr>
          <w:rFonts w:asciiTheme="minorEastAsia" w:hAnsiTheme="minorEastAsia"/>
          <w:sz w:val="28"/>
          <w:szCs w:val="28"/>
        </w:rPr>
      </w:pPr>
      <w:r w:rsidRPr="003213F8">
        <w:rPr>
          <w:rFonts w:asciiTheme="minorEastAsia" w:hAnsiTheme="minorEastAsia" w:hint="eastAsia"/>
          <w:sz w:val="28"/>
          <w:szCs w:val="28"/>
        </w:rPr>
        <w:t>全覆膜管壁能与气管紧密贴合，可以封闭气管</w:t>
      </w:r>
      <w:proofErr w:type="gramStart"/>
      <w:r w:rsidRPr="003213F8">
        <w:rPr>
          <w:rFonts w:asciiTheme="minorEastAsia" w:hAnsiTheme="minorEastAsia" w:hint="eastAsia"/>
          <w:sz w:val="28"/>
          <w:szCs w:val="28"/>
        </w:rPr>
        <w:t>瘘</w:t>
      </w:r>
      <w:proofErr w:type="gramEnd"/>
      <w:r w:rsidRPr="003213F8">
        <w:rPr>
          <w:rFonts w:asciiTheme="minorEastAsia" w:hAnsiTheme="minorEastAsia" w:hint="eastAsia"/>
          <w:sz w:val="28"/>
          <w:szCs w:val="28"/>
        </w:rPr>
        <w:t>口，为</w:t>
      </w:r>
      <w:proofErr w:type="gramStart"/>
      <w:r w:rsidRPr="003213F8">
        <w:rPr>
          <w:rFonts w:asciiTheme="minorEastAsia" w:hAnsiTheme="minorEastAsia" w:hint="eastAsia"/>
          <w:sz w:val="28"/>
          <w:szCs w:val="28"/>
        </w:rPr>
        <w:t>瘘</w:t>
      </w:r>
      <w:proofErr w:type="gramEnd"/>
      <w:r w:rsidRPr="003213F8">
        <w:rPr>
          <w:rFonts w:asciiTheme="minorEastAsia" w:hAnsiTheme="minorEastAsia" w:hint="eastAsia"/>
          <w:sz w:val="28"/>
          <w:szCs w:val="28"/>
        </w:rPr>
        <w:t>口闭合的治疗提供宝贵的时间。</w:t>
      </w:r>
    </w:p>
    <w:p w:rsidR="00B10B03" w:rsidRDefault="003213F8" w:rsidP="00B10B03">
      <w:pPr>
        <w:pStyle w:val="a4"/>
        <w:numPr>
          <w:ilvl w:val="0"/>
          <w:numId w:val="1"/>
        </w:numPr>
        <w:ind w:firstLine="560"/>
        <w:rPr>
          <w:rFonts w:asciiTheme="minorEastAsia" w:hAnsiTheme="minorEastAsia"/>
          <w:sz w:val="28"/>
          <w:szCs w:val="28"/>
        </w:rPr>
      </w:pPr>
      <w:r w:rsidRPr="003213F8">
        <w:rPr>
          <w:rFonts w:asciiTheme="minorEastAsia" w:hAnsiTheme="minorEastAsia" w:hint="eastAsia"/>
          <w:sz w:val="28"/>
          <w:szCs w:val="28"/>
        </w:rPr>
        <w:lastRenderedPageBreak/>
        <w:t>特种不锈钢骨架对射线的吸收和散射值很低。</w:t>
      </w:r>
    </w:p>
    <w:p w:rsidR="00B10B03" w:rsidRDefault="00B10B03" w:rsidP="00B10B03">
      <w:pPr>
        <w:pStyle w:val="a4"/>
        <w:numPr>
          <w:ilvl w:val="0"/>
          <w:numId w:val="1"/>
        </w:numPr>
        <w:ind w:firstLine="560"/>
        <w:rPr>
          <w:rFonts w:asciiTheme="minorEastAsia" w:hAnsiTheme="minorEastAsia"/>
          <w:sz w:val="28"/>
          <w:szCs w:val="28"/>
        </w:rPr>
      </w:pPr>
      <w:r>
        <w:rPr>
          <w:rFonts w:asciiTheme="minorEastAsia" w:hAnsiTheme="minorEastAsia" w:hint="eastAsia"/>
          <w:sz w:val="28"/>
          <w:szCs w:val="28"/>
        </w:rPr>
        <w:t>投标时需考虑到我院3.4%配送费</w:t>
      </w:r>
    </w:p>
    <w:p w:rsidR="00B10B03" w:rsidRPr="00B10B03" w:rsidRDefault="00B10B03" w:rsidP="00B10B03">
      <w:pPr>
        <w:pStyle w:val="a4"/>
        <w:numPr>
          <w:ilvl w:val="0"/>
          <w:numId w:val="1"/>
        </w:numPr>
        <w:ind w:firstLine="560"/>
        <w:rPr>
          <w:rFonts w:asciiTheme="minorEastAsia" w:hAnsiTheme="minorEastAsia"/>
          <w:sz w:val="28"/>
          <w:szCs w:val="28"/>
        </w:rPr>
      </w:pPr>
      <w:r>
        <w:rPr>
          <w:rFonts w:asciiTheme="minorEastAsia" w:hAnsiTheme="minorEastAsia" w:hint="eastAsia"/>
          <w:sz w:val="28"/>
          <w:szCs w:val="28"/>
        </w:rPr>
        <w:t>年预计用量：5套，预算：</w:t>
      </w:r>
      <w:r w:rsidR="00960DF6">
        <w:rPr>
          <w:rFonts w:asciiTheme="minorEastAsia" w:hAnsiTheme="minorEastAsia" w:hint="eastAsia"/>
          <w:sz w:val="28"/>
          <w:szCs w:val="28"/>
        </w:rPr>
        <w:t>9</w:t>
      </w:r>
      <w:r>
        <w:rPr>
          <w:rFonts w:asciiTheme="minorEastAsia" w:hAnsiTheme="minorEastAsia" w:hint="eastAsia"/>
          <w:sz w:val="28"/>
          <w:szCs w:val="28"/>
        </w:rPr>
        <w:t>万元</w:t>
      </w:r>
      <w:r w:rsidR="00960DF6">
        <w:rPr>
          <w:rFonts w:asciiTheme="minorEastAsia" w:hAnsiTheme="minorEastAsia" w:hint="eastAsia"/>
          <w:sz w:val="28"/>
          <w:szCs w:val="28"/>
        </w:rPr>
        <w:t>/3年</w:t>
      </w:r>
      <w:bookmarkStart w:id="0" w:name="_GoBack"/>
      <w:bookmarkEnd w:id="0"/>
    </w:p>
    <w:sectPr w:rsidR="00B10B03" w:rsidRPr="00B10B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60C54"/>
    <w:multiLevelType w:val="hybridMultilevel"/>
    <w:tmpl w:val="A91654F2"/>
    <w:lvl w:ilvl="0" w:tplc="4148F7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99"/>
    <w:rsid w:val="003213F8"/>
    <w:rsid w:val="005D18F5"/>
    <w:rsid w:val="00960DF6"/>
    <w:rsid w:val="00B10B03"/>
    <w:rsid w:val="00BC5599"/>
    <w:rsid w:val="00D46A12"/>
    <w:rsid w:val="00E12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5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213F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5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213F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78</Words>
  <Characters>451</Characters>
  <Application>Microsoft Office Word</Application>
  <DocSecurity>0</DocSecurity>
  <Lines>3</Lines>
  <Paragraphs>1</Paragraphs>
  <ScaleCrop>false</ScaleCrop>
  <Company>微软中国</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cp:lastModifiedBy>
  <cp:revision>3</cp:revision>
  <dcterms:created xsi:type="dcterms:W3CDTF">2018-03-05T05:01:00Z</dcterms:created>
  <dcterms:modified xsi:type="dcterms:W3CDTF">2018-03-06T08:30:00Z</dcterms:modified>
</cp:coreProperties>
</file>