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关于我院拟招标一家多联机空调维修单位的说明</w:t>
      </w:r>
    </w:p>
    <w:p>
      <w:r>
        <w:rPr>
          <w:rFonts w:hint="eastAsia"/>
        </w:rPr>
        <w:t>根据我院工作需要，计划招标一家多联机空调的维修单位，具体要求如下：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投标单位要求：</w:t>
      </w:r>
    </w:p>
    <w:p>
      <w:pPr>
        <w:numPr>
          <w:ilvl w:val="0"/>
          <w:numId w:val="2"/>
        </w:numPr>
      </w:pPr>
      <w:r>
        <w:rPr>
          <w:rFonts w:hint="eastAsia"/>
        </w:rPr>
        <w:t>投标人须具有独立法人资质，符合《中华人民共和国政府采购法》第二十二条规定的投标人资格条件，</w:t>
      </w:r>
    </w:p>
    <w:p>
      <w:pPr>
        <w:numPr>
          <w:ilvl w:val="0"/>
          <w:numId w:val="2"/>
        </w:numPr>
      </w:pPr>
      <w:r>
        <w:rPr>
          <w:rFonts w:hint="eastAsia"/>
        </w:rPr>
        <w:t>投标单位需持有“美的”或“格力”两个品牌中，至少一家厂方的安装、维修、零部件供应的本地授权，</w:t>
      </w:r>
    </w:p>
    <w:p>
      <w:pPr>
        <w:numPr>
          <w:ilvl w:val="0"/>
          <w:numId w:val="2"/>
        </w:numPr>
      </w:pPr>
      <w:r>
        <w:rPr>
          <w:rFonts w:hint="eastAsia"/>
        </w:rPr>
        <w:t>投标单位营业执照经营范围内，需包含该类型空调的安装和维修内容。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报价内容</w:t>
      </w:r>
    </w:p>
    <w:p>
      <w:r>
        <w:rPr>
          <w:rFonts w:hint="eastAsia"/>
          <w:b/>
          <w:bCs/>
          <w:sz w:val="24"/>
        </w:rPr>
        <w:t>1，维修费报价</w:t>
      </w:r>
      <w:r>
        <w:rPr>
          <w:rFonts w:hint="eastAsia"/>
        </w:rPr>
        <w:t>：各类机组出现不同故障的纯维修费报价，分为简修、小修、中修（电器）、中修（制冷系统）大修五个类别，</w:t>
      </w:r>
    </w:p>
    <w:p>
      <w:r>
        <w:rPr>
          <w:rFonts w:hint="eastAsia"/>
        </w:rPr>
        <w:t>1.1简修报价：（   ）元 / 5次</w:t>
      </w:r>
    </w:p>
    <w:p>
      <w:pPr>
        <w:ind w:left="1470" w:hanging="1470" w:hangingChars="700"/>
      </w:pPr>
      <w:r>
        <w:rPr>
          <w:rFonts w:hint="eastAsia"/>
        </w:rPr>
        <w:t>工作内容含：检查故障原因、调整各类线体、零部件、格栅、出风框、压力测量、机内异物</w:t>
      </w:r>
    </w:p>
    <w:p>
      <w:pPr>
        <w:ind w:left="1470" w:leftChars="600" w:hanging="210" w:hangingChars="100"/>
      </w:pPr>
      <w:r>
        <w:rPr>
          <w:rFonts w:hint="eastAsia"/>
        </w:rPr>
        <w:t>排除、清洗滤网、加装排水嘴、更换遥控器或电池、风罩、面框、保险管、接</w:t>
      </w:r>
    </w:p>
    <w:p>
      <w:pPr>
        <w:ind w:left="1470" w:leftChars="600" w:hanging="210" w:hangingChars="100"/>
      </w:pPr>
      <w:r>
        <w:rPr>
          <w:rFonts w:hint="eastAsia"/>
        </w:rPr>
        <w:t>线座。</w:t>
      </w:r>
    </w:p>
    <w:p>
      <w:r>
        <w:rPr>
          <w:rFonts w:hint="eastAsia"/>
        </w:rPr>
        <w:t>1.2小修报价：（   ）元/5次</w:t>
      </w:r>
    </w:p>
    <w:p>
      <w:pPr>
        <w:ind w:left="1260" w:hanging="1260" w:hangingChars="600"/>
      </w:pPr>
      <w:r>
        <w:rPr>
          <w:rFonts w:hint="eastAsia"/>
        </w:rPr>
        <w:t>工作内容含：更换线圈、连接线、变压器、电源板、电容、整流桥、接触器、继电器、加热带、接收板、线控器、出水口、排水软管、网络模块、铜螺母、螺纹式压力开关、传感器。</w:t>
      </w:r>
    </w:p>
    <w:p>
      <w:pPr>
        <w:ind w:left="1260" w:hanging="1260" w:hangingChars="600"/>
      </w:pPr>
      <w:r>
        <w:rPr>
          <w:rFonts w:hint="eastAsia"/>
        </w:rPr>
        <w:t>1.3中修（电器）报价（   ）元/5次</w:t>
      </w:r>
    </w:p>
    <w:p>
      <w:pPr>
        <w:ind w:left="1260" w:hanging="1260" w:hangingChars="600"/>
      </w:pPr>
      <w:r>
        <w:rPr>
          <w:rFonts w:hint="eastAsia"/>
        </w:rPr>
        <w:t>工作内容含：更换室内电机、排水泵、水位开关、电辅热、接水盘、皮带轮、风轮、蜗壳、主控板、防雷击板、变频模块、各类钣金、出风框、压力传感器、步进电机、同步电机。</w:t>
      </w:r>
    </w:p>
    <w:p>
      <w:pPr>
        <w:ind w:left="1260" w:hanging="1260" w:hangingChars="600"/>
      </w:pPr>
      <w:r>
        <w:rPr>
          <w:rFonts w:hint="eastAsia"/>
        </w:rPr>
        <w:t>1.4中修（制冷系统）报价（   ）元/5次</w:t>
      </w:r>
    </w:p>
    <w:p>
      <w:pPr>
        <w:ind w:left="1260" w:hanging="1260" w:hangingChars="600"/>
      </w:pPr>
      <w:r>
        <w:rPr>
          <w:rFonts w:hint="eastAsia"/>
        </w:rPr>
        <w:t>工作内容含：更换气液分离器、储液桶、油分离器、过滤器、单向阀、各类毛细管、压力开关、截止阀、电子膨胀阀、消声器、系统补焊、蒸发器输入出管、管接头，节流部件(外置)。</w:t>
      </w:r>
    </w:p>
    <w:p>
      <w:pPr>
        <w:ind w:left="1260" w:hanging="1260" w:hangingChars="600"/>
      </w:pPr>
      <w:r>
        <w:rPr>
          <w:rFonts w:hint="eastAsia"/>
        </w:rPr>
        <w:t>1.5大修报价：（   ）元/5次</w:t>
      </w:r>
    </w:p>
    <w:p>
      <w:pPr>
        <w:ind w:left="1260" w:hanging="1260" w:hangingChars="600"/>
      </w:pPr>
      <w:r>
        <w:rPr>
          <w:rFonts w:hint="eastAsia"/>
        </w:rPr>
        <w:t>工作内容含：更换变频压缩机、定速压缩机、四通阀组件、冷凝器、套管。更换室内机内置节流部件。</w:t>
      </w:r>
    </w:p>
    <w:p>
      <w:pPr>
        <w:ind w:left="1260" w:hanging="1260" w:hangingChars="600"/>
      </w:pPr>
      <w:r>
        <w:rPr>
          <w:rFonts w:hint="eastAsia"/>
        </w:rPr>
        <w:t>1.6、根据上述1.1-1.5项内容，在下列表中填写，单位：（   ）元/5次</w:t>
      </w:r>
    </w:p>
    <w:p>
      <w:pPr>
        <w:ind w:left="1260" w:hanging="1260" w:hangingChars="600"/>
      </w:pP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1490"/>
        <w:gridCol w:w="1490"/>
        <w:gridCol w:w="1490"/>
        <w:gridCol w:w="1490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1.1简 修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（按5次测算）</w:t>
            </w: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1.2小 修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（按5次测算）</w:t>
            </w: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1.3中修（电器）（按5次测算）</w:t>
            </w: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1.4中修（系统）（按5次测算）</w:t>
            </w: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1.5大 修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（按5次测算）</w:t>
            </w: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汇总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（各5次汇总）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490" w:type="dxa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</w:tr>
    </w:tbl>
    <w:p/>
    <w:p>
      <w:pPr>
        <w:ind w:left="630" w:hanging="630" w:hangingChars="300"/>
      </w:pPr>
      <w:r>
        <w:rPr>
          <w:rFonts w:hint="eastAsia"/>
        </w:rPr>
        <w:t>备注：上述类别报价中，如果同一台机组出现多类别故障，则按最高类别收费，但仅收取一类费用，不得重复收费。</w:t>
      </w:r>
    </w:p>
    <w:p>
      <w:pPr>
        <w:ind w:left="630" w:hanging="630" w:hangingChars="300"/>
      </w:pPr>
    </w:p>
    <w:p>
      <w:r>
        <w:rPr>
          <w:rFonts w:hint="eastAsia"/>
          <w:b/>
          <w:bCs/>
          <w:sz w:val="24"/>
        </w:rPr>
        <w:t>2、主要零配件报价</w:t>
      </w:r>
      <w:r>
        <w:rPr>
          <w:rFonts w:hint="eastAsia"/>
        </w:rPr>
        <w:t>（以“美的”型号为例，格力品牌参照同种功能）</w:t>
      </w:r>
    </w:p>
    <w:p/>
    <w:p>
      <w:r>
        <w:rPr>
          <w:rFonts w:hint="eastAsia"/>
        </w:rPr>
        <w:t>2.1氟利昂R410A</w:t>
      </w:r>
      <w:r>
        <w:rPr>
          <w:rFonts w:hint="eastAsia"/>
          <w:lang w:eastAsia="zh-CN"/>
        </w:rPr>
        <w:t>（</w:t>
      </w:r>
      <w:r>
        <w:rPr>
          <w:rFonts w:hint="eastAsia"/>
        </w:rPr>
        <w:t>金</w:t>
      </w:r>
      <w:r>
        <w:t>冷</w:t>
      </w:r>
      <w:r>
        <w:rPr>
          <w:rFonts w:hint="eastAsia"/>
          <w:lang w:eastAsia="zh-CN"/>
        </w:rPr>
        <w:t>、</w:t>
      </w:r>
      <w:r>
        <w:t>冰</w:t>
      </w:r>
      <w:r>
        <w:rPr>
          <w:rFonts w:hint="eastAsia"/>
        </w:rPr>
        <w:t>龙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，暂定年需求量为200公斤：（       ）元/200公斤（含人工费），如属空调仅仅缺少氟利昂，不论添加多少台次，均按实际使用量，乘每公斤单价计算，支付该项氟利昂费用，不再计算其它维修费。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2.2部分零配件：下列表中为“美的”“格</w:t>
      </w:r>
      <w:r>
        <w:t>力</w:t>
      </w:r>
      <w:r>
        <w:rPr>
          <w:rFonts w:hint="eastAsia"/>
        </w:rPr>
        <w:t>”品牌各配件型号，价格为每一项最高限价，提供参考。医院部分场合的“格力”品牌多联机配件，参照“美的”下列的名称、类别型号、功能、功率等参数报价，各单位自行评估填写，但不得超过最高价。</w:t>
      </w:r>
      <w:r>
        <w:rPr>
          <w:rFonts w:hint="eastAsia"/>
          <w:lang w:eastAsia="zh-CN"/>
        </w:rPr>
        <w:t>（医院现有美的和格力两种机型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tbl>
      <w:tblPr>
        <w:tblStyle w:val="5"/>
        <w:tblW w:w="924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1974"/>
        <w:gridCol w:w="1479"/>
        <w:gridCol w:w="1320"/>
        <w:gridCol w:w="1533"/>
        <w:gridCol w:w="152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shd w:val="clear" w:color="auto" w:fill="D6DCE4" w:themeFill="text2" w:themeFillTint="33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配件名称</w:t>
            </w:r>
          </w:p>
        </w:tc>
        <w:tc>
          <w:tcPr>
            <w:tcW w:w="1974" w:type="dxa"/>
            <w:shd w:val="clear" w:color="auto" w:fill="D6DCE4" w:themeFill="text2" w:themeFillTint="33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参考类别/型号</w:t>
            </w:r>
          </w:p>
        </w:tc>
        <w:tc>
          <w:tcPr>
            <w:tcW w:w="1479" w:type="dxa"/>
            <w:shd w:val="clear" w:color="auto" w:fill="D6DCE4" w:themeFill="text2" w:themeFillTint="33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 xml:space="preserve">最高参考限价(元) </w:t>
            </w:r>
          </w:p>
        </w:tc>
        <w:tc>
          <w:tcPr>
            <w:tcW w:w="1320" w:type="dxa"/>
            <w:shd w:val="clear" w:color="auto" w:fill="D6DCE4" w:themeFill="text2" w:themeFillTint="33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配件名称</w:t>
            </w:r>
          </w:p>
        </w:tc>
        <w:tc>
          <w:tcPr>
            <w:tcW w:w="1533" w:type="dxa"/>
            <w:shd w:val="clear" w:color="auto" w:fill="D6DCE4" w:themeFill="text2" w:themeFillTint="33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参考类别/型号</w:t>
            </w:r>
          </w:p>
        </w:tc>
        <w:tc>
          <w:tcPr>
            <w:tcW w:w="1529" w:type="dxa"/>
            <w:shd w:val="clear" w:color="auto" w:fill="D6DCE4" w:themeFill="text2" w:themeFillTint="33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最高参考限价</w:t>
            </w:r>
          </w:p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(元)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压缩机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E705DHD-72D2YG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8650（      ）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室内电机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HP≤2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750 （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E655DHD-65D2YG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7050（      ）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3≤HP≤5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1020（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E405DHD-36D2YG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5150（      ）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HP≥10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1200（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室外主控板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8≤HP≤16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2100（      ）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内机节流部件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内置全系列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350（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HP≥18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2300（      ）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外置全系列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700（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变频模块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35A（PS22A78）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3640（      ）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室内主控板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ascii="华文细黑" w:hAnsi="华文细黑" w:eastAsia="华文细黑"/>
                <w:b/>
                <w:sz w:val="18"/>
                <w:szCs w:val="18"/>
              </w:rPr>
              <w:t>HP</w:t>
            </w: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≤3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690（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50A（PS22A79）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4360（      ）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HP≥5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760（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四通阀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HP≤16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600 （      ）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风机电源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全系列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640（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HP≥20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750 （      ）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风机模块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15A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780（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室外风叶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ZL-700*202*20-3N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t xml:space="preserve">400 </w: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 ）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直流风机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全系列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2200（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ZL-560*162*20-4N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t xml:space="preserve">300 </w: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 ）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室外机滤波板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全系列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t>1550</w: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06" w:type="dxa"/>
            <w:vMerge w:val="restart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室外交流电机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HP≤16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t>1900</w: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 ）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油分离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全系列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460（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06" w:type="dxa"/>
            <w:vMerge w:val="continue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HP≥20</w:t>
            </w: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t>2200</w: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 ）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室内排水泵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sz w:val="18"/>
                <w:szCs w:val="18"/>
              </w:rPr>
              <w:t>全系列</w:t>
            </w: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450（      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406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华文细黑" w:hAnsi="华文细黑" w:eastAsia="华文细黑"/>
                <w:b/>
                <w:sz w:val="18"/>
                <w:szCs w:val="18"/>
              </w:rPr>
            </w:pP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/>
                <w:b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80" w:type="dxa"/>
            <w:gridSpan w:val="2"/>
          </w:tcPr>
          <w:p>
            <w:pPr>
              <w:ind w:firstLine="2520" w:firstLineChars="1200"/>
              <w:jc w:val="left"/>
            </w:pPr>
          </w:p>
        </w:tc>
        <w:tc>
          <w:tcPr>
            <w:tcW w:w="1479" w:type="dxa"/>
            <w:vAlign w:val="center"/>
          </w:tcPr>
          <w:p>
            <w:pPr>
              <w:jc w:val="left"/>
              <w:rPr>
                <w:rFonts w:ascii="华文细黑" w:hAnsi="华文细黑" w:eastAsia="华文细黑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fldChar w:fldCharType="begin"/>
            </w: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instrText xml:space="preserve"> = sum(C2:C14) \* MERGEFORMAT </w:instrText>
            </w: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fldChar w:fldCharType="separate"/>
            </w: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t>39400</w:t>
            </w:r>
            <w:r>
              <w:rPr>
                <w:rFonts w:hint="eastAsia" w:ascii="华文细黑" w:hAnsi="华文细黑" w:eastAsia="华文细黑" w:cs="宋体"/>
                <w:b/>
                <w:color w:val="FF0000"/>
                <w:sz w:val="18"/>
                <w:szCs w:val="18"/>
              </w:rPr>
              <w:fldChar w:fldCharType="end"/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）</w:t>
            </w:r>
          </w:p>
        </w:tc>
        <w:tc>
          <w:tcPr>
            <w:tcW w:w="2853" w:type="dxa"/>
            <w:gridSpan w:val="2"/>
          </w:tcPr>
          <w:p>
            <w:pPr>
              <w:ind w:firstLine="1890" w:firstLineChars="900"/>
            </w:pPr>
          </w:p>
        </w:tc>
        <w:tc>
          <w:tcPr>
            <w:tcW w:w="1529" w:type="dxa"/>
            <w:vAlign w:val="center"/>
          </w:tcPr>
          <w:p>
            <w:pPr>
              <w:jc w:val="left"/>
              <w:rPr>
                <w:rFonts w:ascii="华文细黑" w:hAnsi="华文细黑" w:eastAsia="华文细黑"/>
                <w:b/>
                <w:color w:val="FF0000"/>
                <w:sz w:val="18"/>
                <w:szCs w:val="18"/>
              </w:rPr>
            </w:pP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fldChar w:fldCharType="begin"/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instrText xml:space="preserve"> = sum(F2:F14) \* MERGEFORMAT </w:instrTex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fldChar w:fldCharType="separate"/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11550</w: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fldChar w:fldCharType="end"/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2" w:type="dxa"/>
            <w:gridSpan w:val="5"/>
          </w:tcPr>
          <w:p>
            <w:pPr>
              <w:ind w:firstLine="1890" w:firstLineChars="900"/>
            </w:pPr>
            <w:r>
              <w:rPr>
                <w:rFonts w:hint="eastAsia"/>
              </w:rPr>
              <w:t>汇总</w:t>
            </w:r>
          </w:p>
        </w:tc>
        <w:tc>
          <w:tcPr>
            <w:tcW w:w="1529" w:type="dxa"/>
          </w:tcPr>
          <w:p>
            <w:pPr>
              <w:jc w:val="center"/>
            </w:pPr>
            <w:r>
              <w:rPr>
                <w:rFonts w:hint="eastAsia"/>
                <w:color w:val="FF0000"/>
              </w:rPr>
              <w:t>50950.00</w:t>
            </w:r>
            <w:r>
              <w:rPr>
                <w:rFonts w:hint="eastAsia" w:ascii="华文细黑" w:hAnsi="华文细黑" w:eastAsia="华文细黑"/>
                <w:b/>
                <w:color w:val="FF0000"/>
                <w:sz w:val="18"/>
                <w:szCs w:val="18"/>
              </w:rPr>
              <w:t>（     ）</w:t>
            </w:r>
          </w:p>
        </w:tc>
      </w:tr>
    </w:tbl>
    <w:p/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2.3、上述两项（维修费+佛利昂+各类配件）累计报价（       ）元</w:t>
      </w:r>
    </w:p>
    <w:p>
      <w:pPr>
        <w:ind w:left="1200" w:hanging="1200" w:hangingChars="500"/>
        <w:rPr>
          <w:sz w:val="24"/>
        </w:rPr>
      </w:pPr>
    </w:p>
    <w:p>
      <w:pPr>
        <w:ind w:left="1200" w:hanging="1200" w:hangingChars="500"/>
        <w:rPr>
          <w:sz w:val="24"/>
        </w:rPr>
      </w:pPr>
      <w:r>
        <w:rPr>
          <w:rFonts w:hint="eastAsia"/>
          <w:sz w:val="24"/>
        </w:rPr>
        <w:t>三，提供的配件要求：</w:t>
      </w:r>
    </w:p>
    <w:p>
      <w:pPr>
        <w:numPr>
          <w:ilvl w:val="0"/>
          <w:numId w:val="3"/>
        </w:numPr>
        <w:ind w:left="1050" w:hanging="1050" w:hangingChars="500"/>
      </w:pPr>
      <w:r>
        <w:rPr>
          <w:rFonts w:hint="eastAsia"/>
        </w:rPr>
        <w:t>维修更换的零配件，必须为与原厂同型号产品，必须为全新产品，不得采用贴牌、仿制</w:t>
      </w:r>
    </w:p>
    <w:p>
      <w:pPr>
        <w:ind w:firstLine="420" w:firstLineChars="200"/>
      </w:pPr>
      <w:r>
        <w:rPr>
          <w:rFonts w:hint="eastAsia"/>
        </w:rPr>
        <w:t>回收、伪劣的零配件；</w:t>
      </w:r>
    </w:p>
    <w:p>
      <w:pPr>
        <w:numPr>
          <w:ilvl w:val="0"/>
          <w:numId w:val="3"/>
        </w:numPr>
        <w:ind w:left="1050" w:hanging="1050" w:hangingChars="500"/>
      </w:pPr>
      <w:r>
        <w:rPr>
          <w:rFonts w:hint="eastAsia"/>
        </w:rPr>
        <w:t>提供的新配件拆封前需院方验收，更换的故障配件必须交回我单位；</w:t>
      </w:r>
    </w:p>
    <w:p>
      <w:pPr>
        <w:numPr>
          <w:ilvl w:val="0"/>
          <w:numId w:val="3"/>
        </w:numPr>
        <w:ind w:left="1050" w:hanging="1050" w:hangingChars="500"/>
      </w:pPr>
      <w:r>
        <w:rPr>
          <w:rFonts w:hint="eastAsia"/>
        </w:rPr>
        <w:t>表格内报价为最高限价，各投标单位根据该价格，自行调整，但不得超过；</w:t>
      </w:r>
    </w:p>
    <w:p>
      <w:pPr>
        <w:numPr>
          <w:ilvl w:val="0"/>
          <w:numId w:val="3"/>
        </w:numPr>
        <w:ind w:left="1050" w:hanging="1050" w:hangingChars="500"/>
      </w:pPr>
      <w:r>
        <w:rPr>
          <w:rFonts w:hint="eastAsia"/>
        </w:rPr>
        <w:t>维修的故障和配件质保期不得低于半年；</w:t>
      </w:r>
    </w:p>
    <w:p>
      <w:pPr>
        <w:ind w:left="-1050" w:leftChars="-500"/>
      </w:pPr>
    </w:p>
    <w:p>
      <w:pPr>
        <w:numPr>
          <w:ilvl w:val="0"/>
          <w:numId w:val="4"/>
        </w:numPr>
      </w:pPr>
      <w:r>
        <w:rPr>
          <w:rFonts w:hint="eastAsia"/>
        </w:rPr>
        <w:t>维修说明，本次招标，为设备故障维修的配件或维修费单价招标，具体维修量以院方实际出现的故障数量为准，计价单价参照上述目录清单各自报价，如在维修中出现有不在清单内的其它零配件故障，则另外单独议价，维修费标准不变。</w:t>
      </w:r>
    </w:p>
    <w:p/>
    <w:p>
      <w:pPr>
        <w:numPr>
          <w:ilvl w:val="0"/>
          <w:numId w:val="4"/>
        </w:numPr>
      </w:pPr>
      <w:r>
        <w:rPr>
          <w:rFonts w:hint="eastAsia"/>
        </w:rPr>
        <w:t>本项目清单单价报价，最高限价8万元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53FB43"/>
    <w:multiLevelType w:val="singleLevel"/>
    <w:tmpl w:val="9353FB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82181FA"/>
    <w:multiLevelType w:val="singleLevel"/>
    <w:tmpl w:val="D82181F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DECC648"/>
    <w:multiLevelType w:val="singleLevel"/>
    <w:tmpl w:val="DDECC64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72220E5"/>
    <w:multiLevelType w:val="singleLevel"/>
    <w:tmpl w:val="F72220E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8EB"/>
    <w:rsid w:val="000458EB"/>
    <w:rsid w:val="00C1507C"/>
    <w:rsid w:val="00E80BA9"/>
    <w:rsid w:val="023D55D1"/>
    <w:rsid w:val="086A59DF"/>
    <w:rsid w:val="1B7E162A"/>
    <w:rsid w:val="205B3C8A"/>
    <w:rsid w:val="212E311E"/>
    <w:rsid w:val="215272AD"/>
    <w:rsid w:val="25A50A2A"/>
    <w:rsid w:val="27413A3D"/>
    <w:rsid w:val="37A26DCD"/>
    <w:rsid w:val="3A6E75E6"/>
    <w:rsid w:val="3D1E43AC"/>
    <w:rsid w:val="3DA6037E"/>
    <w:rsid w:val="3DEE3B97"/>
    <w:rsid w:val="45936005"/>
    <w:rsid w:val="489E7DD2"/>
    <w:rsid w:val="4F356E7A"/>
    <w:rsid w:val="4FC76BCF"/>
    <w:rsid w:val="55B34688"/>
    <w:rsid w:val="5DF507B1"/>
    <w:rsid w:val="65920C07"/>
    <w:rsid w:val="67B33609"/>
    <w:rsid w:val="6B127747"/>
    <w:rsid w:val="72444D85"/>
    <w:rsid w:val="72923A71"/>
    <w:rsid w:val="73BC3944"/>
    <w:rsid w:val="75614913"/>
    <w:rsid w:val="77BA29BC"/>
    <w:rsid w:val="7CC46250"/>
    <w:rsid w:val="7D26091A"/>
    <w:rsid w:val="7F3A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342</Words>
  <Characters>1953</Characters>
  <Lines>16</Lines>
  <Paragraphs>4</Paragraphs>
  <TotalTime>2</TotalTime>
  <ScaleCrop>false</ScaleCrop>
  <LinksUpToDate>false</LinksUpToDate>
  <CharactersWithSpaces>2291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2019-12-25T00:59:00Z</dcterms:created>
  <dc:creator>18703</dc:creator>
  <cp:lastModifiedBy>吃肉的懒兔子</cp:lastModifiedBy>
  <dcterms:modified xsi:type="dcterms:W3CDTF">2020-02-26T08:22:56Z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