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260" w:beforeAutospacing="0" w:after="0" w:afterAutospacing="0" w:line="240" w:lineRule="atLeast"/>
        <w:jc w:val="center"/>
        <w:rPr>
          <w:rFonts w:hint="default"/>
          <w:b/>
          <w:sz w:val="44"/>
          <w:szCs w:val="44"/>
        </w:rPr>
      </w:pPr>
      <w:r>
        <w:rPr>
          <w:rFonts w:hint="eastAsia"/>
          <w:b/>
          <w:sz w:val="44"/>
          <w:szCs w:val="44"/>
          <w:lang w:val="en-US" w:eastAsia="zh-CN"/>
        </w:rPr>
        <w:t>方舱CT维保</w:t>
      </w:r>
      <w:r>
        <w:rPr>
          <w:b/>
          <w:sz w:val="44"/>
          <w:szCs w:val="44"/>
        </w:rPr>
        <w:t>参数</w:t>
      </w:r>
    </w:p>
    <w:p>
      <w:pPr>
        <w:pStyle w:val="4"/>
        <w:shd w:val="clear" w:color="auto" w:fill="FFFFFF"/>
        <w:adjustRightInd w:val="0"/>
        <w:snapToGrid w:val="0"/>
        <w:spacing w:before="260" w:beforeAutospacing="0" w:after="0" w:afterAutospacing="0" w:line="240" w:lineRule="atLeast"/>
        <w:rPr>
          <w:rFonts w:hint="default" w:ascii="Times New Roman" w:hAnsi="Times New Roman" w:eastAsia="黑体"/>
          <w:sz w:val="28"/>
          <w:szCs w:val="28"/>
        </w:rPr>
      </w:pPr>
      <w:r>
        <w:rPr>
          <w:rFonts w:hint="default" w:ascii="Times New Roman" w:hAnsi="Times New Roman" w:eastAsia="黑体"/>
          <w:sz w:val="28"/>
          <w:szCs w:val="28"/>
        </w:rPr>
        <w:t>一、项目基本情况</w:t>
      </w:r>
      <w:r>
        <w:rPr>
          <w:rFonts w:ascii="Times New Roman" w:hAnsi="Times New Roman" w:eastAsia="黑体"/>
          <w:sz w:val="28"/>
          <w:szCs w:val="28"/>
        </w:rPr>
        <w:t>：</w:t>
      </w:r>
    </w:p>
    <w:p>
      <w:pPr>
        <w:pStyle w:val="4"/>
        <w:shd w:val="clear" w:color="auto" w:fill="FFFFFF"/>
        <w:spacing w:before="0" w:beforeAutospacing="0" w:after="0" w:afterAutospacing="0" w:line="240" w:lineRule="atLeast"/>
        <w:jc w:val="both"/>
        <w:rPr>
          <w:rFonts w:hint="default" w:ascii="Times New Roman" w:hAnsi="Times New Roman" w:eastAsia="仿宋"/>
          <w:sz w:val="28"/>
          <w:szCs w:val="28"/>
          <w:lang w:val="en-US" w:eastAsia="zh-CN"/>
        </w:rPr>
      </w:pPr>
      <w:r>
        <w:rPr>
          <w:rFonts w:ascii="Times New Roman" w:hAnsi="Times New Roman" w:eastAsia="仿宋"/>
          <w:sz w:val="28"/>
          <w:szCs w:val="28"/>
        </w:rPr>
        <w:t>①、项目名称：</w:t>
      </w:r>
      <w:r>
        <w:rPr>
          <w:rFonts w:hint="eastAsia" w:ascii="Times New Roman" w:hAnsi="Times New Roman" w:eastAsia="仿宋"/>
          <w:sz w:val="28"/>
          <w:szCs w:val="28"/>
          <w:lang w:val="en-US" w:eastAsia="zh-CN"/>
        </w:rPr>
        <w:t>方舱CT维保（品牌：赛诺威盛、 1台）</w:t>
      </w:r>
    </w:p>
    <w:p>
      <w:pPr>
        <w:pStyle w:val="4"/>
        <w:shd w:val="clear" w:color="auto" w:fill="FFFFFF"/>
        <w:spacing w:before="0" w:beforeAutospacing="0" w:after="0" w:afterAutospacing="0" w:line="240" w:lineRule="atLeast"/>
        <w:jc w:val="both"/>
        <w:rPr>
          <w:rFonts w:hint="default" w:ascii="Times New Roman" w:hAnsi="Times New Roman" w:eastAsia="仿宋"/>
          <w:sz w:val="28"/>
          <w:szCs w:val="28"/>
          <w:lang w:val="en-US" w:eastAsia="zh-CN"/>
        </w:rPr>
      </w:pPr>
      <w:r>
        <w:rPr>
          <w:rFonts w:hint="eastAsia" w:ascii="Times New Roman" w:hAnsi="Times New Roman" w:eastAsia="仿宋"/>
          <w:sz w:val="28"/>
          <w:szCs w:val="28"/>
          <w:lang w:val="en-US" w:eastAsia="zh-CN"/>
        </w:rPr>
        <w:t>②</w:t>
      </w:r>
      <w:r>
        <w:rPr>
          <w:rFonts w:ascii="Times New Roman" w:hAnsi="Times New Roman" w:eastAsia="仿宋"/>
          <w:sz w:val="28"/>
          <w:szCs w:val="28"/>
        </w:rPr>
        <w:t>、预算金额：</w:t>
      </w:r>
      <w:r>
        <w:rPr>
          <w:rFonts w:hint="eastAsia" w:ascii="Times New Roman" w:hAnsi="Times New Roman" w:eastAsia="仿宋"/>
          <w:sz w:val="28"/>
          <w:szCs w:val="28"/>
          <w:lang w:val="en-US" w:eastAsia="zh-CN"/>
        </w:rPr>
        <w:t>25</w:t>
      </w:r>
      <w:r>
        <w:rPr>
          <w:rFonts w:ascii="Times New Roman" w:hAnsi="Times New Roman" w:eastAsia="仿宋"/>
          <w:sz w:val="28"/>
          <w:szCs w:val="28"/>
        </w:rPr>
        <w:t>万元</w:t>
      </w:r>
      <w:r>
        <w:rPr>
          <w:rFonts w:hint="eastAsia" w:ascii="Times New Roman" w:hAnsi="Times New Roman" w:eastAsia="仿宋"/>
          <w:sz w:val="28"/>
          <w:szCs w:val="28"/>
          <w:lang w:val="en-US" w:eastAsia="zh-CN"/>
        </w:rPr>
        <w:t>/年</w:t>
      </w:r>
      <w:bookmarkStart w:id="0" w:name="_GoBack"/>
      <w:bookmarkEnd w:id="0"/>
    </w:p>
    <w:p>
      <w:pPr>
        <w:pStyle w:val="4"/>
        <w:shd w:val="clear" w:color="auto" w:fill="FFFFFF"/>
        <w:spacing w:before="0" w:beforeAutospacing="0" w:after="0" w:afterAutospacing="0" w:line="240" w:lineRule="atLeast"/>
        <w:jc w:val="both"/>
        <w:rPr>
          <w:rFonts w:hint="default" w:ascii="Times New Roman" w:hAnsi="Times New Roman" w:eastAsia="仿宋"/>
          <w:sz w:val="28"/>
          <w:szCs w:val="28"/>
        </w:rPr>
      </w:pPr>
      <w:r>
        <w:rPr>
          <w:rFonts w:hint="eastAsia" w:ascii="Times New Roman" w:hAnsi="Times New Roman" w:eastAsia="仿宋"/>
          <w:sz w:val="28"/>
          <w:szCs w:val="28"/>
          <w:lang w:val="en-US" w:eastAsia="zh-CN"/>
        </w:rPr>
        <w:t>③</w:t>
      </w:r>
      <w:r>
        <w:rPr>
          <w:rFonts w:ascii="Times New Roman" w:hAnsi="Times New Roman" w:eastAsia="仿宋"/>
          <w:sz w:val="28"/>
          <w:szCs w:val="28"/>
        </w:rPr>
        <w:t>、资金来源：</w:t>
      </w:r>
      <w:r>
        <w:rPr>
          <w:rFonts w:hint="eastAsia" w:ascii="Times New Roman" w:hAnsi="Times New Roman" w:eastAsia="仿宋"/>
          <w:sz w:val="28"/>
          <w:szCs w:val="28"/>
          <w:lang w:val="en-US" w:eastAsia="zh-CN"/>
        </w:rPr>
        <w:t>自筹</w:t>
      </w:r>
      <w:r>
        <w:rPr>
          <w:rFonts w:ascii="Times New Roman" w:hAnsi="Times New Roman" w:eastAsia="仿宋"/>
          <w:sz w:val="28"/>
          <w:szCs w:val="28"/>
        </w:rPr>
        <w:t>资金</w:t>
      </w:r>
    </w:p>
    <w:p>
      <w:pPr>
        <w:pStyle w:val="4"/>
        <w:shd w:val="clear" w:color="auto" w:fill="FFFFFF"/>
        <w:spacing w:before="0" w:beforeAutospacing="0" w:after="0" w:afterAutospacing="0" w:line="240" w:lineRule="atLeast"/>
        <w:jc w:val="both"/>
        <w:rPr>
          <w:rFonts w:hint="default" w:ascii="Times New Roman" w:hAnsi="Times New Roman" w:eastAsia="仿宋"/>
          <w:sz w:val="28"/>
          <w:szCs w:val="28"/>
        </w:rPr>
      </w:pPr>
      <w:r>
        <w:rPr>
          <w:rFonts w:ascii="Times New Roman" w:hAnsi="Times New Roman" w:eastAsia="仿宋"/>
          <w:sz w:val="28"/>
          <w:szCs w:val="28"/>
        </w:rPr>
        <w:t>④、</w:t>
      </w:r>
      <w:r>
        <w:rPr>
          <w:rFonts w:hint="default" w:ascii="Times New Roman" w:hAnsi="Times New Roman" w:eastAsia="仿宋"/>
          <w:sz w:val="28"/>
          <w:szCs w:val="28"/>
        </w:rPr>
        <w:t>采购</w:t>
      </w:r>
      <w:r>
        <w:rPr>
          <w:rFonts w:ascii="Times New Roman" w:hAnsi="Times New Roman" w:eastAsia="仿宋"/>
          <w:sz w:val="28"/>
          <w:szCs w:val="28"/>
        </w:rPr>
        <w:t>需求</w:t>
      </w:r>
      <w:r>
        <w:rPr>
          <w:rFonts w:hint="default" w:ascii="Times New Roman" w:hAnsi="Times New Roman" w:eastAsia="仿宋"/>
          <w:sz w:val="28"/>
          <w:szCs w:val="28"/>
        </w:rPr>
        <w:t>：</w:t>
      </w:r>
    </w:p>
    <w:p>
      <w:pPr>
        <w:pStyle w:val="4"/>
        <w:shd w:val="clear" w:color="auto" w:fill="FFFFFF"/>
        <w:spacing w:before="0" w:beforeAutospacing="0" w:after="0" w:afterAutospacing="0" w:line="240" w:lineRule="atLeast"/>
        <w:rPr>
          <w:rFonts w:hint="default" w:ascii="Times New Roman" w:hAnsi="Times New Roman" w:eastAsia="仿宋"/>
          <w:sz w:val="28"/>
          <w:szCs w:val="28"/>
        </w:rPr>
      </w:pPr>
      <w:r>
        <w:rPr>
          <w:rFonts w:ascii="Times New Roman" w:hAnsi="Times New Roman" w:eastAsia="仿宋"/>
          <w:sz w:val="28"/>
          <w:szCs w:val="28"/>
        </w:rPr>
        <w:t>技术参数：</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rPr>
        <w:t>保修期内免费提供维修所需的人工和零备件，第三方产品除外。零备件不限于球管、平板探测器、高压部件、专有软件系统、图形工作站、UPS等</w:t>
      </w:r>
      <w:r>
        <w:rPr>
          <w:rFonts w:hint="eastAsia" w:ascii="Times New Roman" w:hAnsi="Times New Roman" w:eastAsia="仿宋" w:cs="Times New Roman"/>
          <w:sz w:val="28"/>
          <w:szCs w:val="28"/>
          <w:lang w:val="en-US" w:eastAsia="zh-CN"/>
        </w:rPr>
        <w:t>。</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2、维保服务时间为三年。</w:t>
      </w:r>
    </w:p>
    <w:p>
      <w:pPr>
        <w:pStyle w:val="4"/>
        <w:shd w:val="clear" w:color="auto" w:fill="FFFFFF"/>
        <w:spacing w:before="0" w:beforeAutospacing="0" w:after="0" w:afterAutospacing="0" w:line="240" w:lineRule="atLeast"/>
        <w:jc w:val="both"/>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3、提供 365 天、7*24 小时服务，提供24小时400客服电话并且提供相关合同予以证明。</w:t>
      </w:r>
    </w:p>
    <w:p>
      <w:pPr>
        <w:pStyle w:val="4"/>
        <w:shd w:val="clear" w:color="auto" w:fill="FFFFFF"/>
        <w:spacing w:before="0" w:beforeAutospacing="0" w:after="0" w:afterAutospacing="0" w:line="240" w:lineRule="atLeast"/>
        <w:jc w:val="both"/>
        <w:rPr>
          <w:rFonts w:hint="default" w:ascii="Times New Roman" w:hAnsi="Times New Roman" w:eastAsia="仿宋" w:cs="Times New Roman"/>
          <w:sz w:val="28"/>
          <w:szCs w:val="28"/>
          <w:lang w:eastAsia="zh-CN"/>
        </w:rPr>
      </w:pPr>
      <w:r>
        <w:rPr>
          <w:rFonts w:hint="eastAsia" w:ascii="Times New Roman" w:hAnsi="Times New Roman" w:eastAsia="仿宋" w:cs="Times New Roman"/>
          <w:sz w:val="28"/>
          <w:szCs w:val="28"/>
          <w:lang w:val="en-US" w:eastAsia="zh-CN"/>
        </w:rPr>
        <w:t>4、供应商接到用户电话报修首次响应时间 ≤0.5 小时，工程师平均到达现场维修时间≤12小时（从报修电话呼叫中心人员与采购人确立需现场派员起），每迟到1小时，保修延长1</w:t>
      </w:r>
      <w:r>
        <w:rPr>
          <w:rFonts w:hint="default" w:ascii="Times New Roman" w:hAnsi="Times New Roman" w:eastAsia="仿宋" w:cs="Times New Roman"/>
          <w:sz w:val="28"/>
          <w:szCs w:val="28"/>
          <w:lang w:eastAsia="zh-CN"/>
        </w:rPr>
        <w:t>天。</w:t>
      </w:r>
    </w:p>
    <w:p>
      <w:pPr>
        <w:pStyle w:val="4"/>
        <w:shd w:val="clear" w:color="auto" w:fill="FFFFFF"/>
        <w:spacing w:before="0" w:beforeAutospacing="0" w:after="0" w:afterAutospacing="0" w:line="240" w:lineRule="atLeast"/>
        <w:jc w:val="both"/>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5、需要保证全年开机率达：≥96%，每延长一天，保修期延长七天。</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6、投标人须承诺每年至少提供 4 次的全面维护保养，包括安全检查、影像质量检查、设备除尘保养、运行状况检查等，并调试、校准，提供详细的书面维护保养报告；保证全部检测指标达到国家标准并通过专业机构年度检测；提供当年的系统状态报告。</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7、投标人须承诺要保证采购人所保设备处于优良运行状态，针对维保中所约定产品免费提供每季度一次的安全检查、影像质量检查，达到规定质控要求。</w:t>
      </w:r>
    </w:p>
    <w:p>
      <w:pPr>
        <w:pStyle w:val="4"/>
        <w:shd w:val="clear" w:color="auto" w:fill="FFFFFF"/>
        <w:spacing w:before="0" w:beforeAutospacing="0" w:after="0" w:afterAutospacing="0" w:line="240" w:lineRule="atLeast"/>
        <w:jc w:val="both"/>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8、投标人需提供辐射安全许可证正、副本扫描件，种类和范围包含销售、使用III类射线装置，销售II类射线装置。</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9、有专业的服务工程师：提供不少于3 名 CT 工程师，并且提供相关社保证明材料。</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10、★所更换的备件必须为原厂全新备件，并且提供承诺书。</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11、投标人提供信息安全管理体系认证证书，且证书覆盖范围必须包含医疗器械的销售和维修相关的信息安全管理活动；提供信息技术服务管理体系认证证书，且证书覆盖范围必须包含医疗器械的软硬件运维相关的信息技术服务管理活动；提供环境管理体系认证证书，且证书覆盖范围必须包含医疗器械现场修理或维修服务；提供职业健康安全管理体系认证证书，且证书覆盖范围必须包含医疗器械现场修理或维修服务；提供质量管理体系认证证书，且证书覆盖范围必须包含医疗器械现场修理或维修服务。</w:t>
      </w:r>
    </w:p>
    <w:p>
      <w:pPr>
        <w:pStyle w:val="4"/>
        <w:shd w:val="clear" w:color="auto" w:fill="FFFFFF"/>
        <w:spacing w:before="0" w:beforeAutospacing="0" w:after="0" w:afterAutospacing="0" w:line="240" w:lineRule="atLeast"/>
        <w:jc w:val="both"/>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12、投标人提供省内仓库证明材料，以及库存相关备件的资产评估报告。</w:t>
      </w:r>
    </w:p>
    <w:p>
      <w:pPr>
        <w:pStyle w:val="4"/>
        <w:shd w:val="clear" w:color="auto" w:fill="FFFFFF"/>
        <w:spacing w:before="0" w:beforeAutospacing="0" w:after="0" w:afterAutospacing="0" w:line="240" w:lineRule="atLeast"/>
        <w:jc w:val="both"/>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⑤、合同履行期：3年</w:t>
      </w:r>
    </w:p>
    <w:p>
      <w:pPr>
        <w:pStyle w:val="4"/>
        <w:shd w:val="clear" w:color="auto" w:fill="FFFFFF"/>
        <w:spacing w:before="0" w:beforeAutospacing="0" w:after="0" w:afterAutospacing="0" w:line="240" w:lineRule="atLeast"/>
        <w:jc w:val="both"/>
        <w:rPr>
          <w:rFonts w:ascii="Times New Roman" w:hAnsi="Times New Roman" w:eastAsia="仿宋" w:cs="Times New Roman"/>
          <w:sz w:val="28"/>
          <w:szCs w:val="28"/>
        </w:rPr>
      </w:pPr>
      <w:r>
        <w:rPr>
          <w:rFonts w:hint="eastAsia" w:ascii="Times New Roman" w:hAnsi="Times New Roman" w:eastAsia="仿宋" w:cs="Times New Roman"/>
          <w:sz w:val="28"/>
          <w:szCs w:val="28"/>
          <w:lang w:val="en-US" w:eastAsia="zh-CN"/>
        </w:rPr>
        <w:t>⑥、付款方式：每年维保费用分两次支付，每半年支付一次，先服务后付款，验收合格后，每次支付合同每年总价款的50%。结算依据为采购合同、乙方销售发票、甲方出具的验收报告。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jYjJiYjhiZTRiYTMyNjQ4MmZiMzM1YjVlODg3MGQifQ=="/>
  </w:docVars>
  <w:rsids>
    <w:rsidRoot w:val="00000000"/>
    <w:rsid w:val="15086DDB"/>
    <w:rsid w:val="359E5A30"/>
    <w:rsid w:val="369969E7"/>
    <w:rsid w:val="400A3AC1"/>
    <w:rsid w:val="54522DBD"/>
    <w:rsid w:val="68B92FD2"/>
    <w:rsid w:val="6C047B12"/>
    <w:rsid w:val="6EC67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autoRedefine/>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next w:val="3"/>
    <w:qFormat/>
    <w:uiPriority w:val="0"/>
    <w:pPr>
      <w:ind w:firstLine="560" w:firstLineChars="200"/>
    </w:pPr>
    <w:rPr>
      <w:rFonts w:ascii="宋体" w:hAnsi="宋体"/>
      <w:bCs/>
      <w:sz w:val="28"/>
      <w:szCs w:val="32"/>
    </w:rPr>
  </w:style>
  <w:style w:type="paragraph" w:styleId="3">
    <w:name w:val="envelope return"/>
    <w:basedOn w:val="1"/>
    <w:autoRedefine/>
    <w:qFormat/>
    <w:uiPriority w:val="0"/>
    <w:pPr>
      <w:snapToGrid w:val="0"/>
    </w:pPr>
    <w:rPr>
      <w:rFonts w:ascii="Arial" w:hAnsi="Arial"/>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5">
    <w:name w:val="Body Text First Indent 2"/>
    <w:basedOn w:val="2"/>
    <w:next w:val="1"/>
    <w:unhideWhenUsed/>
    <w:qFormat/>
    <w:uiPriority w:val="99"/>
    <w:pPr>
      <w:spacing w:after="120"/>
      <w:ind w:left="420" w:leftChars="200" w:firstLine="420"/>
    </w:pPr>
    <w:rPr>
      <w:rFonts w:ascii="Times New Roman" w:hAnsi="Times New Roman"/>
      <w:bCs w:val="0"/>
      <w:sz w:val="21"/>
      <w:szCs w:val="24"/>
    </w:rPr>
  </w:style>
  <w:style w:type="table" w:styleId="7">
    <w:name w:val="Table Grid"/>
    <w:basedOn w:val="6"/>
    <w:autoRedefine/>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No Spacing"/>
    <w:basedOn w:val="1"/>
    <w:autoRedefine/>
    <w:qFormat/>
    <w:uiPriority w:val="0"/>
    <w:pPr>
      <w:widowControl/>
      <w:jc w:val="left"/>
    </w:pPr>
    <w:rPr>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27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2024-04-24T03:16:00Z</dcterms:created>
  <dc:creator>Administrator</dc:creator>
  <cp:lastModifiedBy>X F</cp:lastModifiedBy>
  <dcterms:modified xsi:type="dcterms:W3CDTF">2024-04-26T00:49:59Z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B89452E5FC2C4561A21927265520261A_12</vt:lpwstr>
  </property>
</Properties>
</file>